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Tutti gli uffici - Attivita' trasversale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Questi procedimenti e processi vengono, per la loro natura trasversale,  mappati una sola volta a valere per tutti gli uffici.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ricorso a transazioni e altri rimedi di risoluzione delle controversie alternativi a quelli giurisdizionali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semplice concernente dati, documenti e informazioni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Controversie e contenziosi esterni ed 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Vigilanza sanitaria a cura del 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Formazione Albo dei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Front office: Informazioni e 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SCIA commercio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SCIA edilizia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Autorizzazione NO SUAP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d'ufficio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procedimento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contributi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d'ufficio - regolamenti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Tutte le aree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d'ufficio - incarichi nomine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d'ufficio - rimborsi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comportamento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Gestione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