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giuridica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gestire il trattamento economico del personale dipendenti comunali e le indennita' erogate agli amministratori locali, con annessi adempimenti contributivi, assistenziali, previdenziali, fiscali; controllo e stampa cartoline presenze mensile; aggiornamento e archivio permessi/ferie personale; elaborazione mensile, anche attraverso ditta esterna, dei cedolini; elaborazione e presentazione 770 per certificazione annua dei contributi versati. L'ufficio provvede inoltre alla predisposizione e redazione delle rendicontazioni e statistiche annuali e delle statistiche del personale.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progressioni economiche orizzontali o di carriera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Selezioni da centro per l'impiego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Stabilizzazioni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dall'esterno ex art. 30 del D. Lgs.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ex art. 34 bis, D. L.gs.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interna intersettoriale da P.E.G.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Cambi di profilo professionale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del rapporto di lavoro a tempo parziale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coperture INAIL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Procedimento disciplinare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Versamenti contributivi datori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Comandi e trasferimenti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 prestazioni professionali di personale interno a tempo indeterminato e determinato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Nucleo di valutazione - 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eccedenze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Assunzioni interinali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incarichi dirigenziali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stipendio per cessione quinto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e attestazioni posizioni assicurative (pa) per uso ricongiunzioni, riscatti ed altro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